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EC" w:rsidRPr="00643587" w:rsidRDefault="004661F7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643587">
        <w:rPr>
          <w:rFonts w:ascii="Times New Roman" w:hAnsi="Times New Roman"/>
          <w:shadow w:val="0"/>
          <w:sz w:val="24"/>
          <w:szCs w:val="24"/>
          <w:u w:val="single"/>
        </w:rPr>
        <w:t>CHAPTER</w:t>
      </w:r>
      <w:r w:rsidR="00DD72EC" w:rsidRPr="00643587">
        <w:rPr>
          <w:rFonts w:ascii="Times New Roman" w:hAnsi="Times New Roman"/>
          <w:shadow w:val="0"/>
          <w:sz w:val="24"/>
          <w:szCs w:val="24"/>
          <w:u w:val="single"/>
        </w:rPr>
        <w:t xml:space="preserve"> 15.20 Trailer and Tourist Campgrounds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 xml:space="preserve">Sections: 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15.20.010</w:t>
      </w:r>
      <w:r w:rsidRPr="00643587">
        <w:rPr>
          <w:rFonts w:ascii="Times New Roman" w:hAnsi="Times New Roman"/>
          <w:shadow w:val="0"/>
          <w:sz w:val="24"/>
          <w:szCs w:val="24"/>
        </w:rPr>
        <w:tab/>
        <w:t>Department of Health and Environmental Science Rules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15.20.020</w:t>
      </w:r>
      <w:r w:rsidRPr="00643587">
        <w:rPr>
          <w:rFonts w:ascii="Times New Roman" w:hAnsi="Times New Roman"/>
          <w:shadow w:val="0"/>
          <w:sz w:val="24"/>
          <w:szCs w:val="24"/>
        </w:rPr>
        <w:tab/>
        <w:t>Zoning Compliance Certificate required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15.20.030</w:t>
      </w:r>
      <w:r w:rsidRPr="00643587">
        <w:rPr>
          <w:rFonts w:ascii="Times New Roman" w:hAnsi="Times New Roman"/>
          <w:shadow w:val="0"/>
          <w:sz w:val="24"/>
          <w:szCs w:val="24"/>
        </w:rPr>
        <w:tab/>
        <w:t>Number of trailers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  <w:u w:val="single"/>
        </w:rPr>
        <w:t>15.20.010 Rules Adopted</w:t>
      </w:r>
      <w:r w:rsidRPr="00643587">
        <w:rPr>
          <w:rFonts w:ascii="Times New Roman" w:hAnsi="Times New Roman"/>
          <w:shadow w:val="0"/>
          <w:sz w:val="24"/>
          <w:szCs w:val="24"/>
        </w:rPr>
        <w:t xml:space="preserve"> 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 xml:space="preserve">The Administrative Rules of the State of Montana Department of Health and Environmental Sciences, Title 16, </w:t>
      </w:r>
      <w:r w:rsidR="002E2919">
        <w:rPr>
          <w:rFonts w:ascii="Times New Roman" w:hAnsi="Times New Roman"/>
          <w:shadow w:val="0"/>
          <w:sz w:val="24"/>
          <w:szCs w:val="24"/>
        </w:rPr>
        <w:t>Chapter 10, Subchapter</w:t>
      </w:r>
      <w:r w:rsidRPr="00643587">
        <w:rPr>
          <w:rFonts w:ascii="Times New Roman" w:hAnsi="Times New Roman"/>
          <w:shadow w:val="0"/>
          <w:sz w:val="24"/>
          <w:szCs w:val="24"/>
        </w:rPr>
        <w:t xml:space="preserve"> 7 for trailer courts and tourist campgrounds are adopted as the rules for the City of Dillon</w:t>
      </w:r>
    </w:p>
    <w:p w:rsidR="00877F3F" w:rsidRDefault="00877F3F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643587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643587">
        <w:rPr>
          <w:rFonts w:ascii="Times New Roman" w:hAnsi="Times New Roman"/>
          <w:shadow w:val="0"/>
          <w:sz w:val="24"/>
          <w:szCs w:val="24"/>
        </w:rPr>
        <w:t xml:space="preserve"> 380 March 16, 1995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  <w:u w:val="single"/>
        </w:rPr>
        <w:t>15.20.020 Zoning Compliance Certificate Required</w:t>
      </w:r>
      <w:r w:rsidRPr="00643587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A Zoning compliance certificate must be obtained before the establishment of a trailer court and/or a tourist campground can be established within the city limits.  This certificate cannot be granted until the applicant has a license from the State of Montana for the trailer court and/or the tourist campground.</w:t>
      </w:r>
    </w:p>
    <w:p w:rsidR="00877F3F" w:rsidRDefault="00877F3F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643587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643587">
        <w:rPr>
          <w:rFonts w:ascii="Times New Roman" w:hAnsi="Times New Roman"/>
          <w:shadow w:val="0"/>
          <w:sz w:val="24"/>
          <w:szCs w:val="24"/>
        </w:rPr>
        <w:t xml:space="preserve"> 380 March 16, 1995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  <w:u w:val="single"/>
        </w:rPr>
        <w:t>15.20.030  Number of Trailers</w:t>
      </w:r>
      <w:r w:rsidRPr="00643587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>Two or more trailer spaces designated for travel trailers in any one area shall designate the area as a trailer park and are subject to these regulations.</w:t>
      </w:r>
    </w:p>
    <w:p w:rsidR="00877F3F" w:rsidRDefault="00877F3F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DD72EC" w:rsidRPr="00643587" w:rsidRDefault="00DD72EC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  <w:r w:rsidRPr="00643587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643587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643587">
        <w:rPr>
          <w:rFonts w:ascii="Times New Roman" w:hAnsi="Times New Roman"/>
          <w:shadow w:val="0"/>
          <w:sz w:val="24"/>
          <w:szCs w:val="24"/>
        </w:rPr>
        <w:t xml:space="preserve"> 380 March 16, 1995</w:t>
      </w:r>
    </w:p>
    <w:p w:rsidR="00F04ED0" w:rsidRDefault="00F04ED0" w:rsidP="00DD72EC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  <w:sectPr w:rsidR="00F04ED0" w:rsidSect="00F04ED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D72EC" w:rsidRPr="00643587" w:rsidRDefault="00F04ED0" w:rsidP="00F04ED0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THIS PAGE INTENTIONALLY BLANK</w:t>
      </w:r>
    </w:p>
    <w:sectPr w:rsidR="00DD72EC" w:rsidRPr="00643587" w:rsidSect="00F04ED0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E8" w:rsidRDefault="002F09E8" w:rsidP="00121281">
      <w:r>
        <w:separator/>
      </w:r>
    </w:p>
  </w:endnote>
  <w:endnote w:type="continuationSeparator" w:id="0">
    <w:p w:rsidR="002F09E8" w:rsidRDefault="002F09E8" w:rsidP="0012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3F" w:rsidRPr="00121281" w:rsidRDefault="00877F3F" w:rsidP="00877F3F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 w:rsidRPr="00121281">
      <w:rPr>
        <w:rFonts w:ascii="Times New Roman" w:hAnsi="Times New Roman"/>
        <w:shadow w:val="0"/>
        <w:sz w:val="24"/>
        <w:szCs w:val="24"/>
      </w:rPr>
      <w:t>Chapter 15.</w:t>
    </w:r>
    <w:r>
      <w:rPr>
        <w:rFonts w:ascii="Times New Roman" w:hAnsi="Times New Roman"/>
        <w:shadow w:val="0"/>
        <w:sz w:val="24"/>
        <w:szCs w:val="24"/>
      </w:rPr>
      <w:t>20</w:t>
    </w:r>
    <w:r w:rsidRPr="00121281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Trailer and Tourist Campgrounds</w:t>
    </w:r>
  </w:p>
  <w:p w:rsidR="002F09E8" w:rsidRPr="00877F3F" w:rsidRDefault="00877F3F" w:rsidP="00877F3F">
    <w:pPr>
      <w:pStyle w:val="Footer"/>
      <w:jc w:val="center"/>
    </w:pPr>
    <w:r>
      <w:rPr>
        <w:rFonts w:ascii="Times New Roman" w:hAnsi="Times New Roman"/>
        <w:shadow w:val="0"/>
        <w:sz w:val="24"/>
        <w:szCs w:val="24"/>
      </w:rPr>
      <w:t>Page</w:t>
    </w:r>
    <w:sdt>
      <w:sdtPr>
        <w:id w:val="116122723"/>
        <w:docPartObj>
          <w:docPartGallery w:val="Page Numbers (Bottom of Page)"/>
          <w:docPartUnique/>
        </w:docPartObj>
      </w:sdtPr>
      <w:sdtContent>
        <w:r>
          <w:t xml:space="preserve"> </w:t>
        </w:r>
        <w:r w:rsidR="005A018F" w:rsidRPr="00EF32B3">
          <w:rPr>
            <w:rFonts w:ascii="Times New Roman" w:hAnsi="Times New Roman"/>
            <w:sz w:val="24"/>
            <w:szCs w:val="24"/>
          </w:rPr>
          <w:fldChar w:fldCharType="begin"/>
        </w:r>
        <w:r w:rsidR="004B67E0" w:rsidRPr="00EF32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5A018F" w:rsidRPr="00EF32B3">
          <w:rPr>
            <w:rFonts w:ascii="Times New Roman" w:hAnsi="Times New Roman"/>
            <w:sz w:val="24"/>
            <w:szCs w:val="24"/>
          </w:rPr>
          <w:fldChar w:fldCharType="separate"/>
        </w:r>
        <w:r w:rsidR="00E34399">
          <w:rPr>
            <w:rFonts w:ascii="Times New Roman" w:hAnsi="Times New Roman"/>
            <w:noProof/>
            <w:sz w:val="24"/>
            <w:szCs w:val="24"/>
          </w:rPr>
          <w:t>1</w:t>
        </w:r>
        <w:r w:rsidR="005A018F" w:rsidRPr="00EF32B3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E8" w:rsidRDefault="002F09E8" w:rsidP="00121281">
      <w:r>
        <w:separator/>
      </w:r>
    </w:p>
  </w:footnote>
  <w:footnote w:type="continuationSeparator" w:id="0">
    <w:p w:rsidR="002F09E8" w:rsidRDefault="002F09E8" w:rsidP="0012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99" w:rsidRDefault="00E34399" w:rsidP="00E34399">
    <w:pPr>
      <w:pStyle w:val="Header"/>
      <w:jc w:val="center"/>
    </w:pPr>
    <w:r w:rsidRPr="00643587">
      <w:rPr>
        <w:rFonts w:ascii="Times New Roman" w:hAnsi="Times New Roman"/>
        <w:b/>
        <w:shadow w:val="0"/>
        <w:sz w:val="24"/>
        <w:szCs w:val="24"/>
      </w:rPr>
      <w:t>TITLE 15 BUILDINGS AND CONSTRUCTION</w:t>
    </w:r>
  </w:p>
  <w:p w:rsidR="00E34399" w:rsidRDefault="00E34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4582119"/>
    <w:multiLevelType w:val="hybridMultilevel"/>
    <w:tmpl w:val="DA18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404F6B"/>
    <w:multiLevelType w:val="hybridMultilevel"/>
    <w:tmpl w:val="F3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BF7"/>
    <w:multiLevelType w:val="hybridMultilevel"/>
    <w:tmpl w:val="811A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504B4"/>
    <w:multiLevelType w:val="hybridMultilevel"/>
    <w:tmpl w:val="568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7AD3"/>
    <w:multiLevelType w:val="hybridMultilevel"/>
    <w:tmpl w:val="8FA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B834EFF"/>
    <w:multiLevelType w:val="hybridMultilevel"/>
    <w:tmpl w:val="B0F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6D9"/>
    <w:multiLevelType w:val="hybridMultilevel"/>
    <w:tmpl w:val="A9F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211353"/>
    <w:multiLevelType w:val="hybridMultilevel"/>
    <w:tmpl w:val="336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9D41630"/>
    <w:multiLevelType w:val="hybridMultilevel"/>
    <w:tmpl w:val="95E87088"/>
    <w:lvl w:ilvl="0" w:tplc="B7A24E3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B49A0F6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2BECB4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49CEC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BD2A4E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D4C2EB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1BE195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46426C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850DA2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CAE6B7A"/>
    <w:multiLevelType w:val="hybridMultilevel"/>
    <w:tmpl w:val="0D8618B4"/>
    <w:lvl w:ilvl="0" w:tplc="F190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23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20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0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4D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4A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E9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E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EE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2">
    <w:nsid w:val="532873E7"/>
    <w:multiLevelType w:val="hybridMultilevel"/>
    <w:tmpl w:val="4824DEF4"/>
    <w:lvl w:ilvl="0" w:tplc="2174B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26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3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B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EB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6B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6B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D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B28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277"/>
    <w:multiLevelType w:val="hybridMultilevel"/>
    <w:tmpl w:val="E0829F0E"/>
    <w:lvl w:ilvl="0" w:tplc="040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9D3440"/>
    <w:multiLevelType w:val="hybridMultilevel"/>
    <w:tmpl w:val="9620F136"/>
    <w:lvl w:ilvl="0" w:tplc="C6344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C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87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87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AF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27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43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E6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836D1"/>
    <w:multiLevelType w:val="hybridMultilevel"/>
    <w:tmpl w:val="51D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7">
    <w:nsid w:val="622450FD"/>
    <w:multiLevelType w:val="hybridMultilevel"/>
    <w:tmpl w:val="7270AA40"/>
    <w:lvl w:ilvl="0" w:tplc="F3CA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4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EE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AC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09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F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0F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23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63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27067"/>
    <w:multiLevelType w:val="hybridMultilevel"/>
    <w:tmpl w:val="F6D8856E"/>
    <w:lvl w:ilvl="0" w:tplc="04090001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9">
    <w:nsid w:val="683C0125"/>
    <w:multiLevelType w:val="hybridMultilevel"/>
    <w:tmpl w:val="3E28E814"/>
    <w:lvl w:ilvl="0" w:tplc="C06EB0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8E16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F9E43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9FEF8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91407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8A1AB2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E04CC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5D1EDF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ACAE1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A07690A"/>
    <w:multiLevelType w:val="hybridMultilevel"/>
    <w:tmpl w:val="92CC3130"/>
    <w:lvl w:ilvl="0" w:tplc="CB46F6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84D6F"/>
    <w:multiLevelType w:val="hybridMultilevel"/>
    <w:tmpl w:val="2D3A72CA"/>
    <w:lvl w:ilvl="0" w:tplc="04090019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F5DAE"/>
    <w:multiLevelType w:val="hybridMultilevel"/>
    <w:tmpl w:val="604A95FE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4"/>
  </w:num>
  <w:num w:numId="5">
    <w:abstractNumId w:val="28"/>
  </w:num>
  <w:num w:numId="6">
    <w:abstractNumId w:val="6"/>
  </w:num>
  <w:num w:numId="7">
    <w:abstractNumId w:val="30"/>
  </w:num>
  <w:num w:numId="8">
    <w:abstractNumId w:val="1"/>
  </w:num>
  <w:num w:numId="9">
    <w:abstractNumId w:val="13"/>
  </w:num>
  <w:num w:numId="10">
    <w:abstractNumId w:val="29"/>
  </w:num>
  <w:num w:numId="11">
    <w:abstractNumId w:val="0"/>
  </w:num>
  <w:num w:numId="12">
    <w:abstractNumId w:val="10"/>
  </w:num>
  <w:num w:numId="13">
    <w:abstractNumId w:val="18"/>
  </w:num>
  <w:num w:numId="14">
    <w:abstractNumId w:val="23"/>
  </w:num>
  <w:num w:numId="15">
    <w:abstractNumId w:val="3"/>
  </w:num>
  <w:num w:numId="16">
    <w:abstractNumId w:val="31"/>
  </w:num>
  <w:num w:numId="17">
    <w:abstractNumId w:val="16"/>
  </w:num>
  <w:num w:numId="18">
    <w:abstractNumId w:val="2"/>
  </w:num>
  <w:num w:numId="19">
    <w:abstractNumId w:val="11"/>
  </w:num>
  <w:num w:numId="20">
    <w:abstractNumId w:val="9"/>
  </w:num>
  <w:num w:numId="21">
    <w:abstractNumId w:val="32"/>
  </w:num>
  <w:num w:numId="22">
    <w:abstractNumId w:val="12"/>
  </w:num>
  <w:num w:numId="23">
    <w:abstractNumId w:val="17"/>
  </w:num>
  <w:num w:numId="24">
    <w:abstractNumId w:val="27"/>
  </w:num>
  <w:num w:numId="25">
    <w:abstractNumId w:val="22"/>
  </w:num>
  <w:num w:numId="26">
    <w:abstractNumId w:val="24"/>
  </w:num>
  <w:num w:numId="27">
    <w:abstractNumId w:val="20"/>
  </w:num>
  <w:num w:numId="28">
    <w:abstractNumId w:val="7"/>
  </w:num>
  <w:num w:numId="29">
    <w:abstractNumId w:val="15"/>
  </w:num>
  <w:num w:numId="30">
    <w:abstractNumId w:val="8"/>
  </w:num>
  <w:num w:numId="31">
    <w:abstractNumId w:val="25"/>
  </w:num>
  <w:num w:numId="32">
    <w:abstractNumId w:val="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D72EC"/>
    <w:rsid w:val="000432DC"/>
    <w:rsid w:val="00075493"/>
    <w:rsid w:val="00081ED5"/>
    <w:rsid w:val="00094844"/>
    <w:rsid w:val="000967C4"/>
    <w:rsid w:val="000B1B16"/>
    <w:rsid w:val="000D0DE5"/>
    <w:rsid w:val="000E1EA2"/>
    <w:rsid w:val="000F62D5"/>
    <w:rsid w:val="001165EB"/>
    <w:rsid w:val="00121281"/>
    <w:rsid w:val="001443E7"/>
    <w:rsid w:val="00147110"/>
    <w:rsid w:val="001A2FCA"/>
    <w:rsid w:val="001D5115"/>
    <w:rsid w:val="001D7B68"/>
    <w:rsid w:val="00214A18"/>
    <w:rsid w:val="0027088F"/>
    <w:rsid w:val="002870E8"/>
    <w:rsid w:val="002A6129"/>
    <w:rsid w:val="002E2919"/>
    <w:rsid w:val="002F09E8"/>
    <w:rsid w:val="0030095E"/>
    <w:rsid w:val="003C3103"/>
    <w:rsid w:val="00417574"/>
    <w:rsid w:val="00417823"/>
    <w:rsid w:val="004357CA"/>
    <w:rsid w:val="004649BF"/>
    <w:rsid w:val="004661F7"/>
    <w:rsid w:val="004B67E0"/>
    <w:rsid w:val="00541225"/>
    <w:rsid w:val="00547CE6"/>
    <w:rsid w:val="00590980"/>
    <w:rsid w:val="005A018F"/>
    <w:rsid w:val="005A6160"/>
    <w:rsid w:val="005B1E46"/>
    <w:rsid w:val="005C076C"/>
    <w:rsid w:val="00611258"/>
    <w:rsid w:val="00611A8E"/>
    <w:rsid w:val="00630527"/>
    <w:rsid w:val="00643587"/>
    <w:rsid w:val="006472B4"/>
    <w:rsid w:val="006814F5"/>
    <w:rsid w:val="006B208B"/>
    <w:rsid w:val="007457CB"/>
    <w:rsid w:val="007704FC"/>
    <w:rsid w:val="007764B5"/>
    <w:rsid w:val="007C1433"/>
    <w:rsid w:val="007E51A1"/>
    <w:rsid w:val="00804DF2"/>
    <w:rsid w:val="008241BB"/>
    <w:rsid w:val="008335CB"/>
    <w:rsid w:val="008460B6"/>
    <w:rsid w:val="008460E4"/>
    <w:rsid w:val="00877F3F"/>
    <w:rsid w:val="008B62C0"/>
    <w:rsid w:val="008E00AE"/>
    <w:rsid w:val="00907048"/>
    <w:rsid w:val="00923E78"/>
    <w:rsid w:val="009A12C2"/>
    <w:rsid w:val="009A5A0D"/>
    <w:rsid w:val="009B4DBA"/>
    <w:rsid w:val="009B6A65"/>
    <w:rsid w:val="009D33BD"/>
    <w:rsid w:val="009D400D"/>
    <w:rsid w:val="00A1513F"/>
    <w:rsid w:val="00A3684E"/>
    <w:rsid w:val="00A51053"/>
    <w:rsid w:val="00A56189"/>
    <w:rsid w:val="00AD1D6F"/>
    <w:rsid w:val="00B06377"/>
    <w:rsid w:val="00B25762"/>
    <w:rsid w:val="00B72CE4"/>
    <w:rsid w:val="00BE70B6"/>
    <w:rsid w:val="00C02E36"/>
    <w:rsid w:val="00C10789"/>
    <w:rsid w:val="00C1198B"/>
    <w:rsid w:val="00C63540"/>
    <w:rsid w:val="00C8431C"/>
    <w:rsid w:val="00C923B3"/>
    <w:rsid w:val="00CB09CC"/>
    <w:rsid w:val="00CB68F5"/>
    <w:rsid w:val="00CD5FAC"/>
    <w:rsid w:val="00CF040E"/>
    <w:rsid w:val="00D76319"/>
    <w:rsid w:val="00D922E0"/>
    <w:rsid w:val="00DC04ED"/>
    <w:rsid w:val="00DD72EC"/>
    <w:rsid w:val="00DF43DB"/>
    <w:rsid w:val="00E0345E"/>
    <w:rsid w:val="00E12AF0"/>
    <w:rsid w:val="00E26BC8"/>
    <w:rsid w:val="00E34399"/>
    <w:rsid w:val="00E44C40"/>
    <w:rsid w:val="00E86D4B"/>
    <w:rsid w:val="00EB5FF5"/>
    <w:rsid w:val="00EC6A07"/>
    <w:rsid w:val="00EF32B3"/>
    <w:rsid w:val="00F04ED0"/>
    <w:rsid w:val="00F0567F"/>
    <w:rsid w:val="00F34A5C"/>
    <w:rsid w:val="00F40F2E"/>
    <w:rsid w:val="00F6292D"/>
    <w:rsid w:val="00F848F5"/>
    <w:rsid w:val="00F95DCF"/>
    <w:rsid w:val="00FD6849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72E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aliases w:val="Head 3"/>
    <w:basedOn w:val="Normal"/>
    <w:next w:val="Normal"/>
    <w:link w:val="Heading2Char"/>
    <w:uiPriority w:val="9"/>
    <w:qFormat/>
    <w:rsid w:val="00DD7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 4"/>
    <w:basedOn w:val="Normal"/>
    <w:next w:val="Normal"/>
    <w:link w:val="Heading3Char"/>
    <w:uiPriority w:val="9"/>
    <w:qFormat/>
    <w:rsid w:val="00DD72EC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1"/>
    <w:basedOn w:val="Normal"/>
    <w:next w:val="Normal"/>
    <w:link w:val="Heading7Char"/>
    <w:uiPriority w:val="9"/>
    <w:unhideWhenUsed/>
    <w:qFormat/>
    <w:rsid w:val="00466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72EC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2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Head 3 Char"/>
    <w:basedOn w:val="DefaultParagraphFont"/>
    <w:link w:val="Heading2"/>
    <w:uiPriority w:val="99"/>
    <w:rsid w:val="00DD72EC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aliases w:val="Head 4 Char"/>
    <w:basedOn w:val="DefaultParagraphFont"/>
    <w:link w:val="Heading3"/>
    <w:uiPriority w:val="99"/>
    <w:rsid w:val="00DD72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DD72EC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DD7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EC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DD72EC"/>
    <w:rPr>
      <w:rFonts w:cs="Times New Roman"/>
    </w:rPr>
  </w:style>
  <w:style w:type="paragraph" w:styleId="Header">
    <w:name w:val="header"/>
    <w:basedOn w:val="Normal"/>
    <w:link w:val="HeaderChar"/>
    <w:rsid w:val="00DD7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72EC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72EC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2EC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DD72EC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72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72EC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DD72EC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D72EC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72EC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DD72EC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2EC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D72EC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72EC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DD72EC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EC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72EC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DD72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2EC"/>
    <w:rPr>
      <w:b/>
      <w:bCs/>
    </w:rPr>
  </w:style>
  <w:style w:type="table" w:styleId="TableGrid">
    <w:name w:val="Table Grid"/>
    <w:basedOn w:val="TableNormal"/>
    <w:uiPriority w:val="59"/>
    <w:rsid w:val="00DD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D72EC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character" w:customStyle="1" w:styleId="Heading7Char">
    <w:name w:val="Heading 7 Char"/>
    <w:aliases w:val="Head 1 Char"/>
    <w:basedOn w:val="DefaultParagraphFont"/>
    <w:link w:val="Heading7"/>
    <w:uiPriority w:val="9"/>
    <w:semiHidden/>
    <w:rsid w:val="004661F7"/>
    <w:rPr>
      <w:rFonts w:asciiTheme="majorHAnsi" w:eastAsiaTheme="majorEastAsia" w:hAnsiTheme="majorHAnsi" w:cstheme="majorBidi"/>
      <w:i/>
      <w:iCs/>
      <w:shadow/>
      <w:color w:val="404040" w:themeColor="text1" w:themeTint="BF"/>
      <w:sz w:val="20"/>
      <w:szCs w:val="20"/>
    </w:rPr>
  </w:style>
  <w:style w:type="paragraph" w:customStyle="1" w:styleId="Section1">
    <w:name w:val="Section 1"/>
    <w:basedOn w:val="Heading6"/>
    <w:link w:val="Section1Char"/>
    <w:qFormat/>
    <w:rsid w:val="004661F7"/>
    <w:pPr>
      <w:keepLines w:val="0"/>
      <w:tabs>
        <w:tab w:val="left" w:pos="1800"/>
      </w:tabs>
      <w:overflowPunct/>
      <w:autoSpaceDE/>
      <w:autoSpaceDN/>
      <w:adjustRightInd/>
      <w:spacing w:before="120" w:after="120"/>
      <w:ind w:left="1728" w:hanging="1728"/>
      <w:textAlignment w:val="auto"/>
    </w:pPr>
    <w:rPr>
      <w:rFonts w:ascii="Times New Roman" w:eastAsia="Calibri" w:hAnsi="Times New Roman" w:cs="Times New Roman"/>
      <w:b/>
      <w:i w:val="0"/>
      <w:iCs w:val="0"/>
      <w:shadow w:val="0"/>
      <w:color w:val="auto"/>
      <w:sz w:val="28"/>
      <w:szCs w:val="22"/>
    </w:rPr>
  </w:style>
  <w:style w:type="character" w:customStyle="1" w:styleId="Section1Char">
    <w:name w:val="Section 1 Char"/>
    <w:basedOn w:val="DefaultParagraphFont"/>
    <w:link w:val="Section1"/>
    <w:rsid w:val="004661F7"/>
    <w:rPr>
      <w:rFonts w:ascii="Times New Roman" w:eastAsia="Calibri" w:hAnsi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1F7"/>
    <w:rPr>
      <w:rFonts w:asciiTheme="majorHAnsi" w:eastAsiaTheme="majorEastAsia" w:hAnsiTheme="majorHAnsi" w:cstheme="majorBidi"/>
      <w:i/>
      <w:iCs/>
      <w:shadow/>
      <w:color w:val="243F60" w:themeColor="accent1" w:themeShade="7F"/>
      <w:sz w:val="20"/>
      <w:szCs w:val="20"/>
    </w:rPr>
  </w:style>
  <w:style w:type="character" w:styleId="Strong">
    <w:name w:val="Strong"/>
    <w:basedOn w:val="BookTitle"/>
    <w:uiPriority w:val="22"/>
    <w:qFormat/>
    <w:rsid w:val="00A1513F"/>
    <w:rPr>
      <w:rFonts w:ascii="Times New Roman" w:hAnsi="Times New Roman"/>
      <w:b/>
      <w:sz w:val="68"/>
      <w:szCs w:val="24"/>
      <w:u w:val="none"/>
    </w:rPr>
  </w:style>
  <w:style w:type="character" w:styleId="BookTitle">
    <w:name w:val="Book Title"/>
    <w:basedOn w:val="DefaultParagraphFont"/>
    <w:uiPriority w:val="33"/>
    <w:qFormat/>
    <w:rsid w:val="00A151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4A23-7373-428B-89E9-8F57FA1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    A.	FLOODPLAIN HAZARD MANAGEMENT REGULATIONS </vt:lpstr>
      <vt:lpstr>        1.	Flood hazard areas specifically adopted herein as Regulated Flood Hazard Area</vt:lpstr>
      <vt:lpstr>        2.	These regulations have been reviewed by Montana Department of Natural Resourc</vt:lpstr>
      <vt:lpstr>        1.	Protect human life and health;</vt:lpstr>
      <vt:lpstr>        2.	Minimize expenditure of public money for costly flood control projects;</vt:lpstr>
      <vt:lpstr>        3.	Minimize the need for rescue and relief efforts associated with flooding and </vt:lpstr>
      <vt:lpstr>        4.	Minimize prolonged business and public service interruptions;</vt:lpstr>
      <vt:lpstr>        5.	Minimize damage to public facilities and utilities such as water and gas main</vt:lpstr>
      <vt:lpstr>        6.	Help maintain a stable tax base by providing for the sound use and developmen</vt:lpstr>
      <vt:lpstr>        7.	Ensure compliance with the minimum standards for the continued participation </vt:lpstr>
      <vt:lpstr>    </vt:lpstr>
      <vt:lpstr>    E.	METHODS TO REDUCE LOSSES</vt:lpstr>
      <vt:lpstr>        Regulated Flood Hazard Areas</vt:lpstr>
      <vt:lpstr>        Interpretation of Regulated Flood Hazard Area Boundaries</vt:lpstr>
      <vt:lpstr>        Alteration of Regulated Flood Hazard Area</vt:lpstr>
      <vt:lpstr>        General</vt:lpstr>
      <vt:lpstr>        Open Space Uses</vt:lpstr>
      <vt:lpstr>        Floodway</vt:lpstr>
      <vt:lpstr>        Flood Fringe or Regulated Flood Hazard Area without a Floodway</vt:lpstr>
      <vt:lpstr>        General</vt:lpstr>
      <vt:lpstr>        Required Floodplain Permit Application Information</vt:lpstr>
      <vt:lpstr>        </vt:lpstr>
      <vt:lpstr>        Floodplain Permit Application Review</vt:lpstr>
      <vt:lpstr>        Notice Requirements for Floodplain Permit Applications</vt:lpstr>
      <vt:lpstr>        Floodplain Permit Criteria</vt:lpstr>
      <vt:lpstr>        Decision</vt:lpstr>
      <vt:lpstr>        Floodplain Permit Conditions and Requirements</vt:lpstr>
      <vt:lpstr>        Uses Requiring Permits</vt:lpstr>
      <vt:lpstr>        General Requirements</vt:lpstr>
      <vt:lpstr>        Residential Building, Exceptions and Additional Requirements</vt:lpstr>
      <vt:lpstr>        Non-Residential Building, Exceptions and Additional Requirements</vt:lpstr>
      <vt:lpstr>        General</vt:lpstr>
      <vt:lpstr>        Emergency Notification and Application Requirements</vt:lpstr>
      <vt:lpstr>        General</vt:lpstr>
      <vt:lpstr>        Variance Application Requirements</vt:lpstr>
      <vt:lpstr>        Notice Requirements for Floodplain Variance Application</vt:lpstr>
      <vt:lpstr>        Evaluation of Variance Application</vt:lpstr>
      <vt:lpstr>        Decision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33</cp:revision>
  <cp:lastPrinted>2017-03-21T20:56:00Z</cp:lastPrinted>
  <dcterms:created xsi:type="dcterms:W3CDTF">2013-12-18T22:14:00Z</dcterms:created>
  <dcterms:modified xsi:type="dcterms:W3CDTF">2021-12-02T23:08:00Z</dcterms:modified>
</cp:coreProperties>
</file>